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55DB7" w14:textId="4243F62C" w:rsidR="005F25C0" w:rsidRPr="005F25C0" w:rsidRDefault="006438B9" w:rsidP="005F25C0">
      <w:pPr>
        <w:pStyle w:val="Titre"/>
        <w:rPr>
          <w:lang w:val="fr-CH"/>
        </w:rPr>
      </w:pPr>
      <w:r>
        <w:rPr>
          <w:lang w:val="fr-CH"/>
        </w:rPr>
        <w:t>Checklist en 15 points : négociations de contrats avec des prestataires numériques</w:t>
      </w:r>
      <w:bookmarkStart w:id="0" w:name="_GoBack"/>
      <w:bookmarkEnd w:id="0"/>
    </w:p>
    <w:p w14:paraId="15B362CE" w14:textId="14121FD7" w:rsidR="006218FC" w:rsidRDefault="006218FC" w:rsidP="00A44836">
      <w:pPr>
        <w:spacing w:after="360"/>
        <w:jc w:val="both"/>
        <w:rPr>
          <w:lang w:val="fr-CH"/>
        </w:rPr>
      </w:pPr>
      <w:r w:rsidRPr="006218FC">
        <w:rPr>
          <w:lang w:val="fr-CH"/>
        </w:rPr>
        <w:t>Les points clés énumérés ci-dessous constituent une base pour rédiger les contrats conclus avec les fournisseurs. Ces bonnes pratiques doivent en principe être prises en compte notamment pour répondre aux exigences en matière de cybersécurité et de protection des données.</w:t>
      </w:r>
    </w:p>
    <w:p w14:paraId="18075785" w14:textId="6F2CBEFE" w:rsidR="005A3CE0" w:rsidRPr="006A4D5B" w:rsidRDefault="005A3CE0" w:rsidP="00DE490A">
      <w:pPr>
        <w:jc w:val="both"/>
        <w:rPr>
          <w:b/>
          <w:lang w:val="fr-CH"/>
        </w:rPr>
      </w:pPr>
      <w:r w:rsidRPr="006A4D5B">
        <w:rPr>
          <w:b/>
          <w:lang w:val="fr-CH"/>
        </w:rPr>
        <w:t>Mesures pour la protection des données</w:t>
      </w:r>
    </w:p>
    <w:p w14:paraId="245684CC" w14:textId="4F8F9EE0" w:rsidR="005A3CE0" w:rsidRDefault="005A3CE0" w:rsidP="005A3CE0">
      <w:pPr>
        <w:pStyle w:val="Paragraphedeliste"/>
        <w:numPr>
          <w:ilvl w:val="0"/>
          <w:numId w:val="2"/>
        </w:numPr>
        <w:spacing w:line="240" w:lineRule="auto"/>
        <w:ind w:left="714" w:hanging="357"/>
        <w:jc w:val="both"/>
        <w:rPr>
          <w:sz w:val="22"/>
          <w:lang w:val="fr-CH"/>
        </w:rPr>
      </w:pPr>
      <w:r w:rsidRPr="006218FC">
        <w:rPr>
          <w:sz w:val="22"/>
          <w:lang w:val="fr-CH"/>
        </w:rPr>
        <w:t>Le fournisseur est tenu de respecter les exigences et les prescriptions de la loi sur la protection des données (</w:t>
      </w:r>
      <w:hyperlink r:id="rId7" w:history="1">
        <w:r w:rsidRPr="005A3CE0">
          <w:rPr>
            <w:rStyle w:val="Lienhypertexte"/>
            <w:sz w:val="22"/>
            <w:lang w:val="fr-CH"/>
          </w:rPr>
          <w:t>LCPD</w:t>
        </w:r>
      </w:hyperlink>
      <w:r w:rsidRPr="006218FC">
        <w:rPr>
          <w:sz w:val="22"/>
          <w:lang w:val="fr-CH"/>
        </w:rPr>
        <w:t>) lors du traitement d’informations personnelles. Seules les données nécessaires à l’accomplissement des tâches peuvent être collectées et traitées.</w:t>
      </w:r>
    </w:p>
    <w:p w14:paraId="509CABE5" w14:textId="42BE99CB" w:rsidR="005A3CE0" w:rsidRPr="006218FC" w:rsidRDefault="005A3CE0" w:rsidP="005A3CE0">
      <w:pPr>
        <w:pStyle w:val="Paragraphedeliste"/>
        <w:numPr>
          <w:ilvl w:val="0"/>
          <w:numId w:val="2"/>
        </w:numPr>
        <w:spacing w:line="240" w:lineRule="auto"/>
        <w:ind w:left="714" w:hanging="357"/>
        <w:jc w:val="both"/>
        <w:rPr>
          <w:sz w:val="22"/>
          <w:lang w:val="fr-CH"/>
        </w:rPr>
      </w:pPr>
      <w:bookmarkStart w:id="1" w:name="_Hlk167487022"/>
      <w:r w:rsidRPr="006218FC">
        <w:rPr>
          <w:sz w:val="22"/>
          <w:lang w:val="fr-CH"/>
        </w:rPr>
        <w:t xml:space="preserve">Le fournisseur doit </w:t>
      </w:r>
      <w:bookmarkEnd w:id="1"/>
      <w:r w:rsidRPr="006218FC">
        <w:rPr>
          <w:sz w:val="22"/>
          <w:lang w:val="fr-CH"/>
        </w:rPr>
        <w:t>tenir une liste des types de données sensibles qui sont utilisées dans les applications</w:t>
      </w:r>
      <w:r>
        <w:rPr>
          <w:sz w:val="22"/>
          <w:lang w:val="fr-CH"/>
        </w:rPr>
        <w:t xml:space="preserve"> et où elles sont finalement stockées</w:t>
      </w:r>
    </w:p>
    <w:p w14:paraId="2D0A8EC7" w14:textId="77777777" w:rsidR="005A3CE0" w:rsidRPr="006218FC" w:rsidRDefault="005A3CE0" w:rsidP="005A3CE0">
      <w:pPr>
        <w:pStyle w:val="Paragraphedeliste"/>
        <w:numPr>
          <w:ilvl w:val="0"/>
          <w:numId w:val="2"/>
        </w:numPr>
        <w:spacing w:line="240" w:lineRule="auto"/>
        <w:ind w:left="714" w:hanging="357"/>
        <w:jc w:val="both"/>
        <w:rPr>
          <w:sz w:val="22"/>
          <w:lang w:val="fr-CH"/>
        </w:rPr>
      </w:pPr>
      <w:r w:rsidRPr="006218FC">
        <w:rPr>
          <w:sz w:val="22"/>
          <w:lang w:val="fr-CH"/>
        </w:rPr>
        <w:t>Le fournisseur doit régulièrement communiquer les informations qu’il détient sur l’organisation et les détruire lorsqu’elles ne sont plus nécessaires.</w:t>
      </w:r>
    </w:p>
    <w:p w14:paraId="6CDC0AF1" w14:textId="4EFCEA34" w:rsidR="005A3CE0" w:rsidRPr="006218FC" w:rsidRDefault="005A3CE0" w:rsidP="00DE490A">
      <w:pPr>
        <w:pStyle w:val="Paragraphedeliste"/>
        <w:tabs>
          <w:tab w:val="left" w:pos="6300"/>
        </w:tabs>
        <w:spacing w:line="240" w:lineRule="auto"/>
        <w:ind w:left="714"/>
        <w:jc w:val="both"/>
        <w:rPr>
          <w:sz w:val="22"/>
          <w:lang w:val="fr-CH"/>
        </w:rPr>
      </w:pPr>
    </w:p>
    <w:p w14:paraId="165C401E" w14:textId="6CB53E10" w:rsidR="005A3CE0" w:rsidRPr="00DE490A" w:rsidRDefault="005A3CE0" w:rsidP="00DE490A">
      <w:pPr>
        <w:jc w:val="both"/>
        <w:rPr>
          <w:b/>
          <w:lang w:val="fr-CH"/>
        </w:rPr>
      </w:pPr>
      <w:r w:rsidRPr="00DE490A">
        <w:rPr>
          <w:b/>
          <w:lang w:val="fr-CH"/>
        </w:rPr>
        <w:t>Mesures de sécurité</w:t>
      </w:r>
    </w:p>
    <w:p w14:paraId="1DE22545" w14:textId="77777777" w:rsidR="006218FC" w:rsidRPr="006218FC" w:rsidRDefault="006218FC" w:rsidP="00A44836">
      <w:pPr>
        <w:pStyle w:val="Paragraphedeliste"/>
        <w:numPr>
          <w:ilvl w:val="0"/>
          <w:numId w:val="2"/>
        </w:numPr>
        <w:spacing w:line="240" w:lineRule="auto"/>
        <w:ind w:left="714" w:hanging="357"/>
        <w:jc w:val="both"/>
        <w:rPr>
          <w:sz w:val="22"/>
          <w:lang w:val="fr-CH"/>
        </w:rPr>
      </w:pPr>
      <w:r w:rsidRPr="006218FC">
        <w:rPr>
          <w:sz w:val="22"/>
          <w:lang w:val="fr-CH"/>
        </w:rPr>
        <w:t>Le fournisseur doit protéger ses propres moyens informatiques – c’est-à-dire tous les systèmes informatiques et les réseaux – contre les cyberattaques selon l’état actuel de la technique et le niveau de risque.</w:t>
      </w:r>
    </w:p>
    <w:p w14:paraId="68F585F6" w14:textId="5419E634" w:rsidR="006218FC" w:rsidRDefault="006218FC" w:rsidP="00A44836">
      <w:pPr>
        <w:pStyle w:val="Paragraphedeliste"/>
        <w:numPr>
          <w:ilvl w:val="0"/>
          <w:numId w:val="2"/>
        </w:numPr>
        <w:spacing w:line="240" w:lineRule="auto"/>
        <w:ind w:left="714" w:hanging="357"/>
        <w:jc w:val="both"/>
        <w:rPr>
          <w:sz w:val="22"/>
          <w:lang w:val="fr-CH"/>
        </w:rPr>
      </w:pPr>
      <w:r w:rsidRPr="006218FC">
        <w:rPr>
          <w:sz w:val="22"/>
          <w:lang w:val="fr-CH"/>
        </w:rPr>
        <w:t>Le fournisseur doit utiliser des méthodes de chiffrement modernes, régulièrement mises à jour et conformes aux normes de l’industrie</w:t>
      </w:r>
      <w:r w:rsidR="000A5888">
        <w:rPr>
          <w:sz w:val="22"/>
          <w:lang w:val="fr-CH"/>
        </w:rPr>
        <w:t xml:space="preserve">, afin </w:t>
      </w:r>
      <w:r w:rsidRPr="006218FC">
        <w:rPr>
          <w:sz w:val="22"/>
          <w:lang w:val="fr-CH"/>
        </w:rPr>
        <w:t xml:space="preserve">de protéger les données sensibles lors de leur transfert entre les systèmes et, lorsqu’elles sont stockées, dans les banques de données en ligne et les dispositifs de sauvegarde. </w:t>
      </w:r>
    </w:p>
    <w:p w14:paraId="54031434" w14:textId="7788A8BA" w:rsidR="005A3CE0" w:rsidRDefault="005A3CE0" w:rsidP="00A44836">
      <w:pPr>
        <w:pStyle w:val="Paragraphedeliste"/>
        <w:numPr>
          <w:ilvl w:val="0"/>
          <w:numId w:val="2"/>
        </w:numPr>
        <w:spacing w:line="240" w:lineRule="auto"/>
        <w:ind w:left="714" w:hanging="357"/>
        <w:jc w:val="both"/>
        <w:rPr>
          <w:sz w:val="22"/>
          <w:lang w:val="fr-CH"/>
        </w:rPr>
      </w:pPr>
      <w:r w:rsidRPr="006218FC">
        <w:rPr>
          <w:sz w:val="22"/>
          <w:lang w:val="fr-CH"/>
        </w:rPr>
        <w:t>Il est possible de demander au fournisseur de présenter une preuve du niveau de cybersécurité au sein de son entreprise afin de garantir la conformité et l’efficacité des mesures de protection</w:t>
      </w:r>
      <w:r w:rsidR="006151B9">
        <w:rPr>
          <w:sz w:val="22"/>
          <w:lang w:val="fr-CH"/>
        </w:rPr>
        <w:t xml:space="preserve"> </w:t>
      </w:r>
      <w:r w:rsidRPr="006218FC">
        <w:rPr>
          <w:sz w:val="22"/>
          <w:lang w:val="fr-CH"/>
        </w:rPr>
        <w:t>(p. ex. réalisation des audits par une entreprise indépendante et reconnue</w:t>
      </w:r>
      <w:r w:rsidR="006151B9">
        <w:rPr>
          <w:sz w:val="22"/>
          <w:lang w:val="fr-CH"/>
        </w:rPr>
        <w:t xml:space="preserve"> ou labellisations</w:t>
      </w:r>
      <w:r w:rsidRPr="006218FC">
        <w:rPr>
          <w:sz w:val="22"/>
          <w:lang w:val="fr-CH"/>
        </w:rPr>
        <w:t>).</w:t>
      </w:r>
    </w:p>
    <w:p w14:paraId="1DDC466C" w14:textId="77777777" w:rsidR="006151B9" w:rsidRPr="006151B9" w:rsidRDefault="006151B9" w:rsidP="006151B9">
      <w:pPr>
        <w:pStyle w:val="Paragraphedeliste"/>
        <w:numPr>
          <w:ilvl w:val="0"/>
          <w:numId w:val="2"/>
        </w:numPr>
        <w:spacing w:line="240" w:lineRule="auto"/>
        <w:ind w:left="714" w:hanging="357"/>
        <w:jc w:val="both"/>
        <w:rPr>
          <w:sz w:val="22"/>
          <w:lang w:val="fr-CH"/>
        </w:rPr>
      </w:pPr>
      <w:r w:rsidRPr="006151B9">
        <w:rPr>
          <w:iCs/>
          <w:sz w:val="22"/>
          <w:lang w:val="fr-CH"/>
        </w:rPr>
        <w:t>Le prestataire met en place des sauvegardes régulières des données communales, conservées de manière sécurisée et séparée des systèmes de production. Les procédures de restauration sont documentées et testées au minimum une fois par an. La commune dispose des informations nécessaires pour vérifier l’existence et avoir accès à ces sauvegardes.</w:t>
      </w:r>
    </w:p>
    <w:p w14:paraId="4158D070" w14:textId="77777777" w:rsidR="005A3CE0" w:rsidRPr="006151B9" w:rsidRDefault="005A3CE0" w:rsidP="006151B9">
      <w:pPr>
        <w:spacing w:line="240" w:lineRule="auto"/>
        <w:jc w:val="both"/>
        <w:rPr>
          <w:lang w:val="fr-CH"/>
        </w:rPr>
      </w:pPr>
    </w:p>
    <w:p w14:paraId="1798FC3F" w14:textId="71DCC4ED" w:rsidR="005A3CE0" w:rsidRPr="00DE490A" w:rsidRDefault="005A3CE0" w:rsidP="005A3CE0">
      <w:pPr>
        <w:spacing w:line="240" w:lineRule="auto"/>
        <w:jc w:val="both"/>
        <w:rPr>
          <w:b/>
          <w:lang w:val="fr-CH"/>
        </w:rPr>
      </w:pPr>
      <w:r w:rsidRPr="00DE490A">
        <w:rPr>
          <w:b/>
          <w:lang w:val="fr-CH"/>
        </w:rPr>
        <w:t>Mesures de transparence</w:t>
      </w:r>
    </w:p>
    <w:p w14:paraId="48BF9753" w14:textId="13606379" w:rsidR="006218FC" w:rsidRDefault="006218FC" w:rsidP="00A44836">
      <w:pPr>
        <w:pStyle w:val="Paragraphedeliste"/>
        <w:numPr>
          <w:ilvl w:val="0"/>
          <w:numId w:val="2"/>
        </w:numPr>
        <w:spacing w:line="240" w:lineRule="auto"/>
        <w:ind w:left="714" w:hanging="357"/>
        <w:jc w:val="both"/>
        <w:rPr>
          <w:sz w:val="22"/>
          <w:lang w:val="fr-CH"/>
        </w:rPr>
      </w:pPr>
      <w:r w:rsidRPr="006218FC">
        <w:rPr>
          <w:sz w:val="22"/>
          <w:lang w:val="fr-CH"/>
        </w:rPr>
        <w:t>Le fournisseur est soumis à l’obligation de transparence en matière d’accès afin de pouvoir déterminer clairement les personnes, les moments de consultation et les données ou systèmes concernés.</w:t>
      </w:r>
      <w:r w:rsidR="00DE490A">
        <w:rPr>
          <w:sz w:val="22"/>
          <w:lang w:val="fr-CH"/>
        </w:rPr>
        <w:t xml:space="preserve"> Le contrat peut contraindre le fournisseur à utiliser des systèmes de surveillance à cet effet.</w:t>
      </w:r>
    </w:p>
    <w:p w14:paraId="1F27D688" w14:textId="51386D38" w:rsidR="005A3CE0" w:rsidRPr="005A3CE0" w:rsidRDefault="005A3CE0" w:rsidP="005A3CE0">
      <w:pPr>
        <w:pStyle w:val="Paragraphedeliste"/>
        <w:numPr>
          <w:ilvl w:val="0"/>
          <w:numId w:val="2"/>
        </w:numPr>
        <w:spacing w:line="240" w:lineRule="auto"/>
        <w:ind w:left="714" w:hanging="357"/>
        <w:jc w:val="both"/>
        <w:rPr>
          <w:sz w:val="22"/>
          <w:lang w:val="fr-CH"/>
        </w:rPr>
      </w:pPr>
      <w:r w:rsidRPr="006218FC">
        <w:rPr>
          <w:sz w:val="22"/>
          <w:lang w:val="fr-CH"/>
        </w:rPr>
        <w:t>Le fournisseur doit tenir une liste des sous-traitants (entreprises tierces) qui ont accès aux données des clients. Cette liste doit pouvoir être consultée à tout moment en cas de demande.</w:t>
      </w:r>
    </w:p>
    <w:p w14:paraId="68ABCE0F" w14:textId="77777777" w:rsidR="00DE490A" w:rsidRPr="005A3CE0" w:rsidRDefault="00DE490A" w:rsidP="00DE490A">
      <w:pPr>
        <w:pStyle w:val="Paragraphedeliste"/>
        <w:numPr>
          <w:ilvl w:val="0"/>
          <w:numId w:val="2"/>
        </w:numPr>
        <w:spacing w:line="240" w:lineRule="auto"/>
        <w:ind w:left="714" w:hanging="357"/>
        <w:jc w:val="both"/>
        <w:rPr>
          <w:sz w:val="22"/>
          <w:lang w:val="fr-CH"/>
        </w:rPr>
      </w:pPr>
      <w:r w:rsidRPr="006218FC">
        <w:rPr>
          <w:sz w:val="22"/>
          <w:lang w:val="fr-CH"/>
        </w:rPr>
        <w:lastRenderedPageBreak/>
        <w:t xml:space="preserve">Si le fournisseur fait appel à des sous-traitants, l’entreprise ainsi que ses employés sont </w:t>
      </w:r>
      <w:proofErr w:type="gramStart"/>
      <w:r w:rsidRPr="006218FC">
        <w:rPr>
          <w:sz w:val="22"/>
          <w:lang w:val="fr-CH"/>
        </w:rPr>
        <w:t>soumis</w:t>
      </w:r>
      <w:proofErr w:type="gramEnd"/>
      <w:r w:rsidRPr="006218FC">
        <w:rPr>
          <w:sz w:val="22"/>
          <w:lang w:val="fr-CH"/>
        </w:rPr>
        <w:t xml:space="preserve"> aux mêmes normes de cybersécurité et de protection des données que celles qui s’appliquent au fournisseur principal.</w:t>
      </w:r>
    </w:p>
    <w:p w14:paraId="1AFB3A12" w14:textId="3D7BADA9" w:rsidR="005A3CE0" w:rsidRDefault="005A3CE0" w:rsidP="005A3CE0">
      <w:pPr>
        <w:pStyle w:val="Paragraphedeliste"/>
        <w:spacing w:line="240" w:lineRule="auto"/>
        <w:ind w:left="714"/>
        <w:jc w:val="both"/>
        <w:rPr>
          <w:sz w:val="22"/>
          <w:lang w:val="fr-CH"/>
        </w:rPr>
      </w:pPr>
    </w:p>
    <w:p w14:paraId="4CC20615" w14:textId="77777777" w:rsidR="00DE490A" w:rsidRPr="006151B9" w:rsidRDefault="00DE490A" w:rsidP="006151B9">
      <w:pPr>
        <w:spacing w:line="240" w:lineRule="auto"/>
        <w:jc w:val="both"/>
        <w:rPr>
          <w:lang w:val="fr-CH"/>
        </w:rPr>
      </w:pPr>
    </w:p>
    <w:p w14:paraId="399646B9" w14:textId="26BE4A38" w:rsidR="005A3CE0" w:rsidRPr="00DE490A" w:rsidRDefault="005A3CE0" w:rsidP="00DE490A">
      <w:pPr>
        <w:spacing w:line="240" w:lineRule="auto"/>
        <w:jc w:val="both"/>
        <w:rPr>
          <w:b/>
          <w:lang w:val="fr-CH"/>
        </w:rPr>
      </w:pPr>
      <w:r w:rsidRPr="00DE490A">
        <w:rPr>
          <w:b/>
          <w:lang w:val="fr-CH"/>
        </w:rPr>
        <w:t xml:space="preserve">Mesures en cas de </w:t>
      </w:r>
      <w:proofErr w:type="spellStart"/>
      <w:r w:rsidRPr="00DE490A">
        <w:rPr>
          <w:b/>
          <w:lang w:val="fr-CH"/>
        </w:rPr>
        <w:t>cyberincident</w:t>
      </w:r>
      <w:proofErr w:type="spellEnd"/>
    </w:p>
    <w:p w14:paraId="6EDBCD89" w14:textId="77777777" w:rsidR="006218FC" w:rsidRPr="006218FC" w:rsidRDefault="006218FC" w:rsidP="00A44836">
      <w:pPr>
        <w:pStyle w:val="Paragraphedeliste"/>
        <w:numPr>
          <w:ilvl w:val="0"/>
          <w:numId w:val="2"/>
        </w:numPr>
        <w:spacing w:line="240" w:lineRule="auto"/>
        <w:ind w:left="714" w:hanging="357"/>
        <w:jc w:val="both"/>
        <w:rPr>
          <w:sz w:val="22"/>
          <w:lang w:val="fr-CH"/>
        </w:rPr>
      </w:pPr>
      <w:r w:rsidRPr="006218FC">
        <w:rPr>
          <w:sz w:val="22"/>
          <w:lang w:val="fr-CH"/>
        </w:rPr>
        <w:t>Le fournisseur doit signaler les cyberattaques, les violations de la protection des données et les vulnérabilités de ses systèmes afin de permettre une réaction rapide et appropriée aux incidents de sécurité. Le contrat doit préciser le délai de signalement en heures ou en jours ainsi que le service auquel le fournisseur doit s’adresser.</w:t>
      </w:r>
    </w:p>
    <w:p w14:paraId="3462A1B0" w14:textId="07E0C231" w:rsidR="006218FC" w:rsidRDefault="006218FC" w:rsidP="00A44836">
      <w:pPr>
        <w:pStyle w:val="Paragraphedeliste"/>
        <w:numPr>
          <w:ilvl w:val="0"/>
          <w:numId w:val="2"/>
        </w:numPr>
        <w:spacing w:line="240" w:lineRule="auto"/>
        <w:ind w:left="714" w:hanging="357"/>
        <w:jc w:val="both"/>
        <w:rPr>
          <w:sz w:val="22"/>
          <w:lang w:val="fr-CH"/>
        </w:rPr>
      </w:pPr>
      <w:r w:rsidRPr="006218FC">
        <w:rPr>
          <w:sz w:val="22"/>
          <w:lang w:val="fr-CH"/>
        </w:rPr>
        <w:t>Le fournisseur doit immédiatement corriger les vulnérabilités détectées et ce, à ses propres frais (coûts liés au matériel, heures de travail et éventuels frais de prestataires externes).</w:t>
      </w:r>
    </w:p>
    <w:p w14:paraId="46A8727E" w14:textId="2D3CBAC8" w:rsidR="005A3CE0" w:rsidRDefault="005A3CE0" w:rsidP="005A3CE0">
      <w:pPr>
        <w:pStyle w:val="Paragraphedeliste"/>
        <w:numPr>
          <w:ilvl w:val="0"/>
          <w:numId w:val="2"/>
        </w:numPr>
        <w:spacing w:line="240" w:lineRule="auto"/>
        <w:ind w:left="714" w:hanging="357"/>
        <w:jc w:val="both"/>
        <w:rPr>
          <w:sz w:val="22"/>
          <w:lang w:val="fr-CH"/>
        </w:rPr>
      </w:pPr>
      <w:r>
        <w:rPr>
          <w:sz w:val="22"/>
          <w:lang w:val="fr-CH"/>
        </w:rPr>
        <w:t xml:space="preserve">Le contrat peut </w:t>
      </w:r>
      <w:r w:rsidRPr="006218FC">
        <w:rPr>
          <w:sz w:val="22"/>
          <w:lang w:val="fr-CH"/>
        </w:rPr>
        <w:t xml:space="preserve">obliger </w:t>
      </w:r>
      <w:r>
        <w:rPr>
          <w:sz w:val="22"/>
          <w:lang w:val="fr-CH"/>
        </w:rPr>
        <w:t xml:space="preserve">le fournisseur </w:t>
      </w:r>
      <w:r w:rsidRPr="006218FC">
        <w:rPr>
          <w:sz w:val="22"/>
          <w:lang w:val="fr-CH"/>
        </w:rPr>
        <w:t>à établir des plans de réponse aux incidents comprenant des directives claires pour notifier, endiguer et investiguer les incidents de sécurité.</w:t>
      </w:r>
    </w:p>
    <w:p w14:paraId="7436552D" w14:textId="77777777" w:rsidR="005A3CE0" w:rsidRPr="006218FC" w:rsidRDefault="005A3CE0" w:rsidP="005A3CE0">
      <w:pPr>
        <w:pStyle w:val="Paragraphedeliste"/>
        <w:numPr>
          <w:ilvl w:val="0"/>
          <w:numId w:val="2"/>
        </w:numPr>
        <w:spacing w:line="240" w:lineRule="auto"/>
        <w:ind w:left="714" w:hanging="357"/>
        <w:jc w:val="both"/>
        <w:rPr>
          <w:sz w:val="22"/>
          <w:lang w:val="fr-CH"/>
        </w:rPr>
      </w:pPr>
      <w:r w:rsidRPr="006218FC">
        <w:rPr>
          <w:sz w:val="22"/>
          <w:lang w:val="fr-CH"/>
        </w:rPr>
        <w:t>Il est possible d’inclure une clause dans le contrat rendant le fournisseur responsable des dommages directs et indirects qui découlent du non-respect des obligations contractuelles ainsi que des pénalités en cas de violation des obligations contractuelles en matière de cybersécurité et de protection des données.</w:t>
      </w:r>
    </w:p>
    <w:p w14:paraId="0DD6603A" w14:textId="0137D610" w:rsidR="005A3CE0" w:rsidRPr="005A3CE0" w:rsidRDefault="005A3CE0" w:rsidP="005A3CE0">
      <w:pPr>
        <w:pStyle w:val="Paragraphedeliste"/>
        <w:numPr>
          <w:ilvl w:val="0"/>
          <w:numId w:val="2"/>
        </w:numPr>
        <w:spacing w:after="360" w:line="240" w:lineRule="auto"/>
        <w:ind w:left="714" w:hanging="357"/>
        <w:jc w:val="both"/>
        <w:rPr>
          <w:sz w:val="22"/>
          <w:lang w:val="fr-CH"/>
        </w:rPr>
      </w:pPr>
      <w:r w:rsidRPr="006218FC">
        <w:rPr>
          <w:sz w:val="22"/>
          <w:lang w:val="fr-CH"/>
        </w:rPr>
        <w:t xml:space="preserve">Il est possible de contraindre le fournisseur à souscrire une assurance responsabilité civile et/ou une assurance cybersécurité couvrant les dommages qui découlent du non-respect des obligations contractuelles ou de violations de la </w:t>
      </w:r>
      <w:hyperlink r:id="rId8" w:history="1">
        <w:r w:rsidR="00DE490A" w:rsidRPr="005A3CE0">
          <w:rPr>
            <w:rStyle w:val="Lienhypertexte"/>
            <w:sz w:val="22"/>
            <w:lang w:val="fr-CH"/>
          </w:rPr>
          <w:t>LCPD</w:t>
        </w:r>
      </w:hyperlink>
      <w:r w:rsidRPr="006218FC">
        <w:rPr>
          <w:sz w:val="22"/>
          <w:lang w:val="fr-CH"/>
        </w:rPr>
        <w:t>.</w:t>
      </w:r>
    </w:p>
    <w:p w14:paraId="7EEABCEF" w14:textId="7B85FC06" w:rsidR="005A3CE0" w:rsidRDefault="005A3CE0" w:rsidP="005A3CE0">
      <w:pPr>
        <w:spacing w:line="240" w:lineRule="auto"/>
        <w:ind w:left="357"/>
        <w:jc w:val="both"/>
        <w:rPr>
          <w:lang w:val="fr-CH"/>
        </w:rPr>
      </w:pPr>
    </w:p>
    <w:p w14:paraId="5A3E022F" w14:textId="62703B56" w:rsidR="006218FC" w:rsidRPr="006218FC" w:rsidRDefault="006218FC" w:rsidP="00DE490A">
      <w:pPr>
        <w:rPr>
          <w:lang w:val="fr-CH"/>
        </w:rPr>
      </w:pPr>
    </w:p>
    <w:p w14:paraId="531CF163" w14:textId="77777777" w:rsidR="003A717C" w:rsidRPr="006438B9" w:rsidRDefault="003A717C" w:rsidP="006218FC">
      <w:pPr>
        <w:jc w:val="both"/>
        <w:rPr>
          <w:lang w:val="fr-CH"/>
        </w:rPr>
      </w:pPr>
    </w:p>
    <w:sectPr w:rsidR="003A717C" w:rsidRPr="006438B9" w:rsidSect="003D79A5">
      <w:headerReference w:type="default" r:id="rId9"/>
      <w:footerReference w:type="default" r:id="rId10"/>
      <w:headerReference w:type="first" r:id="rId11"/>
      <w:footerReference w:type="first" r:id="rId12"/>
      <w:pgSz w:w="11906" w:h="16838" w:code="9"/>
      <w:pgMar w:top="381" w:right="1134" w:bottom="567" w:left="1701" w:header="79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40285" w14:textId="77777777" w:rsidR="007F7C3B" w:rsidRDefault="007F7C3B" w:rsidP="007F7C3B">
      <w:pPr>
        <w:spacing w:line="240" w:lineRule="auto"/>
      </w:pPr>
      <w:r>
        <w:separator/>
      </w:r>
    </w:p>
  </w:endnote>
  <w:endnote w:type="continuationSeparator" w:id="0">
    <w:p w14:paraId="2C3FD2F4" w14:textId="77777777" w:rsidR="007F7C3B" w:rsidRDefault="007F7C3B" w:rsidP="007F7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9" w:type="dxa"/>
      <w:tblLayout w:type="fixed"/>
      <w:tblCellMar>
        <w:left w:w="0" w:type="dxa"/>
        <w:right w:w="0" w:type="dxa"/>
      </w:tblCellMar>
      <w:tblLook w:val="04A0" w:firstRow="1" w:lastRow="0" w:firstColumn="1" w:lastColumn="0" w:noHBand="0" w:noVBand="1"/>
    </w:tblPr>
    <w:tblGrid>
      <w:gridCol w:w="9469"/>
    </w:tblGrid>
    <w:tr w:rsidR="0034088B" w14:paraId="7348355E" w14:textId="77777777" w:rsidTr="00694B02">
      <w:trPr>
        <w:cantSplit/>
      </w:trPr>
      <w:tc>
        <w:tcPr>
          <w:tcW w:w="9469" w:type="dxa"/>
        </w:tcPr>
        <w:p w14:paraId="41F1C610" w14:textId="77777777" w:rsidR="00E01E58" w:rsidRDefault="00E01E58" w:rsidP="00AD3109">
          <w:pPr>
            <w:pStyle w:val="Referenz"/>
          </w:pPr>
        </w:p>
      </w:tc>
    </w:tr>
    <w:tr w:rsidR="0034088B" w14:paraId="54224ACF" w14:textId="77777777" w:rsidTr="00694B02">
      <w:trPr>
        <w:cantSplit/>
      </w:trPr>
      <w:tc>
        <w:tcPr>
          <w:tcW w:w="9469" w:type="dxa"/>
        </w:tcPr>
        <w:p w14:paraId="34344405" w14:textId="77777777" w:rsidR="00E01E58" w:rsidRDefault="007F7C3B" w:rsidP="00AD3109">
          <w:pPr>
            <w:pStyle w:val="Referenz"/>
            <w:jc w:val="right"/>
          </w:pPr>
          <w:r>
            <w:fldChar w:fldCharType="begin"/>
          </w:r>
          <w:r>
            <w:instrText xml:space="preserve"> PAGE \* Arabic </w:instrText>
          </w:r>
          <w:r>
            <w:fldChar w:fldCharType="separate"/>
          </w:r>
          <w:r>
            <w:rPr>
              <w:noProof/>
            </w:rPr>
            <w:t>5</w:t>
          </w:r>
          <w:r>
            <w:fldChar w:fldCharType="end"/>
          </w:r>
          <w:r>
            <w:t>/</w:t>
          </w:r>
          <w:r>
            <w:rPr>
              <w:noProof/>
            </w:rPr>
            <w:fldChar w:fldCharType="begin"/>
          </w:r>
          <w:r>
            <w:rPr>
              <w:noProof/>
            </w:rPr>
            <w:instrText xml:space="preserve"> NUMPAGES </w:instrText>
          </w:r>
          <w:r>
            <w:rPr>
              <w:noProof/>
            </w:rPr>
            <w:fldChar w:fldCharType="separate"/>
          </w:r>
          <w:r>
            <w:rPr>
              <w:noProof/>
            </w:rPr>
            <w:t>5</w:t>
          </w:r>
          <w:r>
            <w:rPr>
              <w:noProof/>
            </w:rPr>
            <w:fldChar w:fldCharType="end"/>
          </w:r>
        </w:p>
      </w:tc>
    </w:tr>
    <w:tr w:rsidR="0034088B" w:rsidRPr="00190534" w14:paraId="11FCD5F0" w14:textId="77777777" w:rsidTr="00694B02">
      <w:trPr>
        <w:cantSplit/>
      </w:trPr>
      <w:tc>
        <w:tcPr>
          <w:tcW w:w="9469" w:type="dxa"/>
        </w:tcPr>
        <w:p w14:paraId="429CBC9E" w14:textId="77777777" w:rsidR="00E01E58" w:rsidRPr="00190534" w:rsidRDefault="00E01E58" w:rsidP="00190534">
          <w:pPr>
            <w:pStyle w:val="Pieddepage"/>
          </w:pPr>
        </w:p>
      </w:tc>
    </w:tr>
  </w:tbl>
  <w:p w14:paraId="2BA8182E" w14:textId="77777777" w:rsidR="00E01E58" w:rsidRPr="004E4F31" w:rsidRDefault="00E01E58" w:rsidP="007D689B">
    <w:pPr>
      <w:pStyle w:val="Absatz1Punk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34088B" w14:paraId="72492AB9" w14:textId="77777777" w:rsidTr="002C23B7">
      <w:trPr>
        <w:cantSplit/>
      </w:trPr>
      <w:tc>
        <w:tcPr>
          <w:tcW w:w="4253" w:type="dxa"/>
        </w:tcPr>
        <w:p w14:paraId="708FBE0F" w14:textId="77777777" w:rsidR="00E01E58" w:rsidRDefault="00E01E58">
          <w:pPr>
            <w:pStyle w:val="Referenz"/>
          </w:pPr>
        </w:p>
      </w:tc>
      <w:tc>
        <w:tcPr>
          <w:tcW w:w="5103" w:type="dxa"/>
        </w:tcPr>
        <w:p w14:paraId="557B3265" w14:textId="77777777" w:rsidR="00E01E58" w:rsidRDefault="00E01E58">
          <w:pPr>
            <w:pStyle w:val="Referenz"/>
          </w:pPr>
        </w:p>
      </w:tc>
    </w:tr>
    <w:tr w:rsidR="0034088B" w14:paraId="1284876E" w14:textId="77777777" w:rsidTr="002C23B7">
      <w:trPr>
        <w:cantSplit/>
        <w:trHeight w:hRule="exact" w:val="363"/>
      </w:trPr>
      <w:tc>
        <w:tcPr>
          <w:tcW w:w="4253" w:type="dxa"/>
        </w:tcPr>
        <w:p w14:paraId="7BF8F9D5" w14:textId="77777777" w:rsidR="00E01E58" w:rsidRDefault="00E01E58">
          <w:pPr>
            <w:pStyle w:val="Referenz"/>
          </w:pPr>
        </w:p>
      </w:tc>
      <w:tc>
        <w:tcPr>
          <w:tcW w:w="5103" w:type="dxa"/>
        </w:tcPr>
        <w:p w14:paraId="19955FAF" w14:textId="77777777" w:rsidR="00E01E58" w:rsidRDefault="00E01E58">
          <w:pPr>
            <w:pStyle w:val="Referenz"/>
          </w:pPr>
        </w:p>
      </w:tc>
    </w:tr>
    <w:tr w:rsidR="0034088B" w14:paraId="2606531F" w14:textId="77777777" w:rsidTr="002C23B7">
      <w:trPr>
        <w:cantSplit/>
      </w:trPr>
      <w:tc>
        <w:tcPr>
          <w:tcW w:w="4253" w:type="dxa"/>
        </w:tcPr>
        <w:p w14:paraId="014C4C0D" w14:textId="77777777" w:rsidR="00E01E58" w:rsidRDefault="00E01E58" w:rsidP="007435D1">
          <w:pPr>
            <w:pStyle w:val="Pieddepage"/>
          </w:pPr>
        </w:p>
      </w:tc>
      <w:tc>
        <w:tcPr>
          <w:tcW w:w="5103" w:type="dxa"/>
        </w:tcPr>
        <w:p w14:paraId="670E2DF7" w14:textId="77777777" w:rsidR="00E01E58" w:rsidRDefault="00E01E58" w:rsidP="007435D1">
          <w:pPr>
            <w:pStyle w:val="Pieddepage"/>
          </w:pPr>
        </w:p>
      </w:tc>
    </w:tr>
  </w:tbl>
  <w:p w14:paraId="5BAF8AE7" w14:textId="77777777" w:rsidR="00E01E58" w:rsidRPr="00101684" w:rsidRDefault="00E01E58" w:rsidP="00251105">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71749" w14:textId="77777777" w:rsidR="007F7C3B" w:rsidRDefault="007F7C3B" w:rsidP="007F7C3B">
      <w:pPr>
        <w:spacing w:line="240" w:lineRule="auto"/>
      </w:pPr>
      <w:r>
        <w:separator/>
      </w:r>
    </w:p>
  </w:footnote>
  <w:footnote w:type="continuationSeparator" w:id="0">
    <w:p w14:paraId="1738B1F5" w14:textId="77777777" w:rsidR="007F7C3B" w:rsidRDefault="007F7C3B" w:rsidP="007F7C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Layout w:type="fixed"/>
      <w:tblCellMar>
        <w:left w:w="0" w:type="dxa"/>
        <w:right w:w="0" w:type="dxa"/>
      </w:tblCellMar>
      <w:tblLook w:val="04A0" w:firstRow="1" w:lastRow="0" w:firstColumn="1" w:lastColumn="0" w:noHBand="0" w:noVBand="1"/>
    </w:tblPr>
    <w:tblGrid>
      <w:gridCol w:w="4253"/>
      <w:gridCol w:w="4819"/>
    </w:tblGrid>
    <w:tr w:rsidR="0034088B" w14:paraId="4B437EEC" w14:textId="77777777" w:rsidTr="007A44E0">
      <w:trPr>
        <w:cantSplit/>
        <w:trHeight w:hRule="exact" w:val="400"/>
      </w:trPr>
      <w:tc>
        <w:tcPr>
          <w:tcW w:w="4253" w:type="dxa"/>
        </w:tcPr>
        <w:p w14:paraId="13D97D9E" w14:textId="77777777" w:rsidR="00E01E58" w:rsidRDefault="00E01E58" w:rsidP="00AD3109">
          <w:pPr>
            <w:pStyle w:val="Referenz"/>
          </w:pPr>
        </w:p>
      </w:tc>
      <w:tc>
        <w:tcPr>
          <w:tcW w:w="4820" w:type="dxa"/>
        </w:tcPr>
        <w:p w14:paraId="19B4E1B4" w14:textId="77777777" w:rsidR="00E01E58" w:rsidRDefault="00E01E58" w:rsidP="00AD3109">
          <w:pPr>
            <w:pStyle w:val="Klassifizierung"/>
          </w:pPr>
        </w:p>
      </w:tc>
    </w:tr>
  </w:tbl>
  <w:p w14:paraId="7768F6FA" w14:textId="77777777" w:rsidR="00E01E58" w:rsidRDefault="00E01E58" w:rsidP="003D79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139"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940"/>
      <w:gridCol w:w="5199"/>
    </w:tblGrid>
    <w:tr w:rsidR="0034088B" w14:paraId="238BF379" w14:textId="77777777" w:rsidTr="005A3CE0">
      <w:trPr>
        <w:cantSplit/>
        <w:trHeight w:hRule="exact" w:val="284"/>
      </w:trPr>
      <w:tc>
        <w:tcPr>
          <w:tcW w:w="4940" w:type="dxa"/>
        </w:tcPr>
        <w:p w14:paraId="23274B18" w14:textId="3102DE36" w:rsidR="00E01E58" w:rsidRDefault="00E01E58" w:rsidP="003D79A5">
          <w:pPr>
            <w:pStyle w:val="En-tte"/>
            <w:spacing w:line="240" w:lineRule="auto"/>
          </w:pPr>
        </w:p>
        <w:p w14:paraId="7B12DE32" w14:textId="082B29B4" w:rsidR="007F7C3B" w:rsidRPr="00E76A13" w:rsidRDefault="007F7C3B" w:rsidP="007F7C3B">
          <w:pPr>
            <w:pStyle w:val="Text1-Zeilenabstand07pt"/>
          </w:pPr>
          <w:r w:rsidRPr="00D66D13">
            <w:rPr>
              <w:noProof/>
              <w:lang w:eastAsia="de-CH"/>
            </w:rPr>
            <mc:AlternateContent>
              <mc:Choice Requires="wps">
                <w:drawing>
                  <wp:anchor distT="0" distB="0" distL="114300" distR="114300" simplePos="0" relativeHeight="251660288" behindDoc="0" locked="1" layoutInCell="1" allowOverlap="1" wp14:anchorId="47EDA4C1" wp14:editId="7898AE10">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9BE1B0B" w14:textId="77777777" w:rsidR="007F7C3B" w:rsidRPr="00E358DE" w:rsidRDefault="007F7C3B" w:rsidP="007F7C3B">
                                <w:pPr>
                                  <w:spacing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DA4C1" id="_x0000_t202" coordsize="21600,21600" o:spt="202" path="m,l,21600r21600,l21600,xe">
                    <v:stroke joinstyle="miter"/>
                    <v:path gradientshapeok="t" o:connecttype="rect"/>
                  </v:shapetype>
                  <v:shape id="Textfeld 2" o:spid="_x0000_s1026" type="#_x0000_t202" style="position:absolute;margin-left:7.9pt;margin-top:0;width:0;height:125.3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" filled="f" stroked="f" strokeweight=".5pt">
                    <v:textbox inset="0,0,0,0">
                      <w:txbxContent>
                        <w:p w14:paraId="49BE1B0B" w14:textId="77777777" w:rsidR="007F7C3B" w:rsidRPr="00E358DE" w:rsidRDefault="007F7C3B" w:rsidP="007F7C3B">
                          <w:pPr>
                            <w:spacing w:line="14" w:lineRule="exact"/>
                            <w:ind w:left="-57"/>
                            <w:rPr>
                              <w:sz w:val="2"/>
                            </w:rPr>
                          </w:pPr>
                        </w:p>
                      </w:txbxContent>
                    </v:textbox>
                    <w10:wrap type="topAndBottom" anchorx="margin" anchory="page"/>
                    <w10:anchorlock/>
                  </v:shape>
                </w:pict>
              </mc:Fallback>
            </mc:AlternateContent>
          </w:r>
        </w:p>
        <w:p w14:paraId="357897C9" w14:textId="77777777" w:rsidR="00E01E58" w:rsidRDefault="00E01E58" w:rsidP="003D79A5">
          <w:pPr>
            <w:pStyle w:val="En-tte"/>
            <w:spacing w:line="240" w:lineRule="auto"/>
          </w:pPr>
        </w:p>
      </w:tc>
      <w:tc>
        <w:tcPr>
          <w:tcW w:w="5199" w:type="dxa"/>
        </w:tcPr>
        <w:p w14:paraId="508F4662" w14:textId="64FCBF44" w:rsidR="00B12CB3" w:rsidRPr="00B12CB3" w:rsidRDefault="00B12CB3" w:rsidP="005A3CE0"/>
      </w:tc>
    </w:tr>
  </w:tbl>
  <w:p w14:paraId="4B082294" w14:textId="56139309" w:rsidR="00E01E58" w:rsidRDefault="00E01E58" w:rsidP="00236D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6DB"/>
    <w:multiLevelType w:val="multilevel"/>
    <w:tmpl w:val="08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21271F17"/>
    <w:multiLevelType w:val="hybridMultilevel"/>
    <w:tmpl w:val="17F43DD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53"/>
    <w:rsid w:val="0008145F"/>
    <w:rsid w:val="000A5888"/>
    <w:rsid w:val="001A2968"/>
    <w:rsid w:val="002823E5"/>
    <w:rsid w:val="002A7AC4"/>
    <w:rsid w:val="00317658"/>
    <w:rsid w:val="003A717C"/>
    <w:rsid w:val="003C20CB"/>
    <w:rsid w:val="003D73A9"/>
    <w:rsid w:val="004219AC"/>
    <w:rsid w:val="00525B98"/>
    <w:rsid w:val="005A3CE0"/>
    <w:rsid w:val="005B6A60"/>
    <w:rsid w:val="005D07ED"/>
    <w:rsid w:val="005E2B48"/>
    <w:rsid w:val="005E6C40"/>
    <w:rsid w:val="005F0322"/>
    <w:rsid w:val="005F25C0"/>
    <w:rsid w:val="006151B9"/>
    <w:rsid w:val="006218FC"/>
    <w:rsid w:val="00640211"/>
    <w:rsid w:val="006438B9"/>
    <w:rsid w:val="00650053"/>
    <w:rsid w:val="006A4D5B"/>
    <w:rsid w:val="006B1874"/>
    <w:rsid w:val="0075410E"/>
    <w:rsid w:val="00772FA8"/>
    <w:rsid w:val="0078134B"/>
    <w:rsid w:val="007A5602"/>
    <w:rsid w:val="007B7273"/>
    <w:rsid w:val="007F7C3B"/>
    <w:rsid w:val="008472B8"/>
    <w:rsid w:val="00881D90"/>
    <w:rsid w:val="008A562D"/>
    <w:rsid w:val="008C0200"/>
    <w:rsid w:val="008C5EDD"/>
    <w:rsid w:val="00914A80"/>
    <w:rsid w:val="009A5E04"/>
    <w:rsid w:val="009B6BD9"/>
    <w:rsid w:val="009D708B"/>
    <w:rsid w:val="00A44836"/>
    <w:rsid w:val="00A82664"/>
    <w:rsid w:val="00B00CE6"/>
    <w:rsid w:val="00B12680"/>
    <w:rsid w:val="00B12CB3"/>
    <w:rsid w:val="00B47EB9"/>
    <w:rsid w:val="00BB09FC"/>
    <w:rsid w:val="00BD5F80"/>
    <w:rsid w:val="00BF6D65"/>
    <w:rsid w:val="00C0156D"/>
    <w:rsid w:val="00C479A6"/>
    <w:rsid w:val="00C84C4F"/>
    <w:rsid w:val="00CD0EE8"/>
    <w:rsid w:val="00DB7A1F"/>
    <w:rsid w:val="00DE490A"/>
    <w:rsid w:val="00DF296D"/>
    <w:rsid w:val="00E01E58"/>
    <w:rsid w:val="00E44E26"/>
    <w:rsid w:val="00E7226C"/>
    <w:rsid w:val="00E8375F"/>
    <w:rsid w:val="00E87C0E"/>
    <w:rsid w:val="00E91679"/>
    <w:rsid w:val="00F86F89"/>
    <w:rsid w:val="00FB4253"/>
    <w:rsid w:val="00FC6EC2"/>
    <w:rsid w:val="00FE53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1EF54A"/>
  <w15:chartTrackingRefBased/>
  <w15:docId w15:val="{EF80107D-CD13-47F8-93A1-9EEB490A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C3B"/>
    <w:pPr>
      <w:widowControl w:val="0"/>
      <w:spacing w:after="0" w:line="260" w:lineRule="atLeast"/>
    </w:pPr>
    <w:rPr>
      <w:rFonts w:ascii="Arial" w:hAnsi="Arial"/>
    </w:rPr>
  </w:style>
  <w:style w:type="paragraph" w:styleId="Titre1">
    <w:name w:val="heading 1"/>
    <w:basedOn w:val="Normal"/>
    <w:next w:val="Normal"/>
    <w:link w:val="Titre1Car"/>
    <w:qFormat/>
    <w:rsid w:val="007F7C3B"/>
    <w:pPr>
      <w:keepNext/>
      <w:keepLines/>
      <w:numPr>
        <w:numId w:val="1"/>
      </w:numPr>
      <w:spacing w:before="620" w:after="260"/>
      <w:contextualSpacing/>
      <w:outlineLvl w:val="0"/>
    </w:pPr>
    <w:rPr>
      <w:rFonts w:eastAsiaTheme="majorEastAsia" w:cstheme="majorBidi"/>
      <w:b/>
      <w:bCs/>
      <w:sz w:val="36"/>
      <w:szCs w:val="28"/>
    </w:rPr>
  </w:style>
  <w:style w:type="paragraph" w:styleId="Titre2">
    <w:name w:val="heading 2"/>
    <w:basedOn w:val="Normal"/>
    <w:next w:val="Normal"/>
    <w:link w:val="Titre2Car"/>
    <w:unhideWhenUsed/>
    <w:qFormat/>
    <w:rsid w:val="007F7C3B"/>
    <w:pPr>
      <w:keepNext/>
      <w:keepLines/>
      <w:numPr>
        <w:ilvl w:val="1"/>
        <w:numId w:val="1"/>
      </w:numPr>
      <w:spacing w:before="580" w:after="120"/>
      <w:contextualSpacing/>
      <w:outlineLvl w:val="1"/>
    </w:pPr>
    <w:rPr>
      <w:rFonts w:eastAsiaTheme="majorEastAsia" w:cstheme="majorBidi"/>
      <w:b/>
      <w:bCs/>
      <w:sz w:val="32"/>
      <w:szCs w:val="26"/>
    </w:rPr>
  </w:style>
  <w:style w:type="paragraph" w:styleId="Titre3">
    <w:name w:val="heading 3"/>
    <w:basedOn w:val="Normal"/>
    <w:next w:val="Normal"/>
    <w:link w:val="Titre3Car"/>
    <w:unhideWhenUsed/>
    <w:qFormat/>
    <w:rsid w:val="007F7C3B"/>
    <w:pPr>
      <w:keepNext/>
      <w:keepLines/>
      <w:numPr>
        <w:ilvl w:val="2"/>
        <w:numId w:val="1"/>
      </w:numPr>
      <w:spacing w:before="380" w:after="120"/>
      <w:contextualSpacing/>
      <w:outlineLvl w:val="2"/>
    </w:pPr>
    <w:rPr>
      <w:rFonts w:eastAsiaTheme="majorEastAsia" w:cstheme="majorBidi"/>
      <w:b/>
      <w:bCs/>
      <w:sz w:val="28"/>
      <w:szCs w:val="20"/>
    </w:rPr>
  </w:style>
  <w:style w:type="paragraph" w:styleId="Titre4">
    <w:name w:val="heading 4"/>
    <w:basedOn w:val="Normal"/>
    <w:next w:val="Normal"/>
    <w:link w:val="Titre4Car"/>
    <w:unhideWhenUsed/>
    <w:qFormat/>
    <w:rsid w:val="007F7C3B"/>
    <w:pPr>
      <w:keepNext/>
      <w:keepLines/>
      <w:numPr>
        <w:ilvl w:val="3"/>
        <w:numId w:val="1"/>
      </w:numPr>
      <w:tabs>
        <w:tab w:val="left" w:pos="1276"/>
      </w:tabs>
      <w:spacing w:before="460" w:after="60"/>
      <w:contextualSpacing/>
      <w:outlineLvl w:val="3"/>
    </w:pPr>
    <w:rPr>
      <w:rFonts w:eastAsia="Times New Roman" w:cs="Times New Roman"/>
      <w:b/>
      <w:bCs/>
      <w:sz w:val="24"/>
      <w:szCs w:val="28"/>
      <w:lang w:eastAsia="de-DE"/>
    </w:rPr>
  </w:style>
  <w:style w:type="paragraph" w:styleId="Titre5">
    <w:name w:val="heading 5"/>
    <w:basedOn w:val="Normal"/>
    <w:next w:val="Normal"/>
    <w:link w:val="Titre5Car"/>
    <w:unhideWhenUsed/>
    <w:qFormat/>
    <w:rsid w:val="007F7C3B"/>
    <w:pPr>
      <w:keepNext/>
      <w:keepLines/>
      <w:numPr>
        <w:ilvl w:val="4"/>
        <w:numId w:val="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Titre6">
    <w:name w:val="heading 6"/>
    <w:basedOn w:val="Normal"/>
    <w:next w:val="Normal"/>
    <w:link w:val="Titre6Car"/>
    <w:unhideWhenUsed/>
    <w:qFormat/>
    <w:rsid w:val="007F7C3B"/>
    <w:pPr>
      <w:keepNext/>
      <w:keepLines/>
      <w:numPr>
        <w:ilvl w:val="5"/>
        <w:numId w:val="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Titre7">
    <w:name w:val="heading 7"/>
    <w:basedOn w:val="Normal"/>
    <w:next w:val="Normal"/>
    <w:link w:val="Titre7Car"/>
    <w:unhideWhenUsed/>
    <w:qFormat/>
    <w:rsid w:val="007F7C3B"/>
    <w:pPr>
      <w:keepNext/>
      <w:keepLines/>
      <w:numPr>
        <w:ilvl w:val="6"/>
        <w:numId w:val="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Titre8">
    <w:name w:val="heading 8"/>
    <w:basedOn w:val="Normal"/>
    <w:next w:val="Normal"/>
    <w:link w:val="Titre8Car"/>
    <w:unhideWhenUsed/>
    <w:qFormat/>
    <w:rsid w:val="007F7C3B"/>
    <w:pPr>
      <w:keepNext/>
      <w:keepLines/>
      <w:numPr>
        <w:ilvl w:val="7"/>
        <w:numId w:val="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Titre9">
    <w:name w:val="heading 9"/>
    <w:basedOn w:val="Normal"/>
    <w:next w:val="Normal"/>
    <w:link w:val="Titre9Car"/>
    <w:semiHidden/>
    <w:unhideWhenUsed/>
    <w:qFormat/>
    <w:rsid w:val="007F7C3B"/>
    <w:pPr>
      <w:keepNext/>
      <w:keepLines/>
      <w:numPr>
        <w:ilvl w:val="8"/>
        <w:numId w:val="1"/>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F7C3B"/>
    <w:rPr>
      <w:rFonts w:ascii="Arial" w:eastAsiaTheme="majorEastAsia" w:hAnsi="Arial" w:cstheme="majorBidi"/>
      <w:b/>
      <w:bCs/>
      <w:sz w:val="36"/>
      <w:szCs w:val="28"/>
    </w:rPr>
  </w:style>
  <w:style w:type="character" w:customStyle="1" w:styleId="Titre2Car">
    <w:name w:val="Titre 2 Car"/>
    <w:basedOn w:val="Policepardfaut"/>
    <w:link w:val="Titre2"/>
    <w:rsid w:val="007F7C3B"/>
    <w:rPr>
      <w:rFonts w:ascii="Arial" w:eastAsiaTheme="majorEastAsia" w:hAnsi="Arial" w:cstheme="majorBidi"/>
      <w:b/>
      <w:bCs/>
      <w:sz w:val="32"/>
      <w:szCs w:val="26"/>
    </w:rPr>
  </w:style>
  <w:style w:type="character" w:customStyle="1" w:styleId="Titre3Car">
    <w:name w:val="Titre 3 Car"/>
    <w:basedOn w:val="Policepardfaut"/>
    <w:link w:val="Titre3"/>
    <w:rsid w:val="007F7C3B"/>
    <w:rPr>
      <w:rFonts w:ascii="Arial" w:eastAsiaTheme="majorEastAsia" w:hAnsi="Arial" w:cstheme="majorBidi"/>
      <w:b/>
      <w:bCs/>
      <w:sz w:val="28"/>
      <w:szCs w:val="20"/>
    </w:rPr>
  </w:style>
  <w:style w:type="character" w:customStyle="1" w:styleId="Titre4Car">
    <w:name w:val="Titre 4 Car"/>
    <w:basedOn w:val="Policepardfaut"/>
    <w:link w:val="Titre4"/>
    <w:rsid w:val="007F7C3B"/>
    <w:rPr>
      <w:rFonts w:ascii="Arial" w:eastAsia="Times New Roman" w:hAnsi="Arial" w:cs="Times New Roman"/>
      <w:b/>
      <w:bCs/>
      <w:sz w:val="24"/>
      <w:szCs w:val="28"/>
      <w:lang w:eastAsia="de-DE"/>
    </w:rPr>
  </w:style>
  <w:style w:type="character" w:customStyle="1" w:styleId="Titre5Car">
    <w:name w:val="Titre 5 Car"/>
    <w:basedOn w:val="Policepardfaut"/>
    <w:link w:val="Titre5"/>
    <w:rsid w:val="007F7C3B"/>
    <w:rPr>
      <w:rFonts w:ascii="Arial" w:eastAsia="Times New Roman" w:hAnsi="Arial" w:cs="Times New Roman"/>
      <w:b/>
      <w:bCs/>
      <w:iCs/>
      <w:szCs w:val="26"/>
      <w:lang w:eastAsia="de-DE"/>
    </w:rPr>
  </w:style>
  <w:style w:type="character" w:customStyle="1" w:styleId="Titre6Car">
    <w:name w:val="Titre 6 Car"/>
    <w:basedOn w:val="Policepardfaut"/>
    <w:link w:val="Titre6"/>
    <w:rsid w:val="007F7C3B"/>
    <w:rPr>
      <w:rFonts w:ascii="Arial" w:eastAsia="Times New Roman" w:hAnsi="Arial" w:cs="Times New Roman"/>
      <w:bCs/>
      <w:szCs w:val="20"/>
      <w:lang w:eastAsia="de-DE"/>
    </w:rPr>
  </w:style>
  <w:style w:type="character" w:customStyle="1" w:styleId="Titre7Car">
    <w:name w:val="Titre 7 Car"/>
    <w:basedOn w:val="Policepardfaut"/>
    <w:link w:val="Titre7"/>
    <w:rsid w:val="007F7C3B"/>
    <w:rPr>
      <w:rFonts w:ascii="Arial" w:eastAsia="Times New Roman" w:hAnsi="Arial" w:cs="Times New Roman"/>
      <w:szCs w:val="24"/>
      <w:lang w:eastAsia="de-DE"/>
    </w:rPr>
  </w:style>
  <w:style w:type="character" w:customStyle="1" w:styleId="Titre8Car">
    <w:name w:val="Titre 8 Car"/>
    <w:basedOn w:val="Policepardfaut"/>
    <w:link w:val="Titre8"/>
    <w:rsid w:val="007F7C3B"/>
    <w:rPr>
      <w:rFonts w:ascii="Arial" w:eastAsia="Times New Roman" w:hAnsi="Arial" w:cs="Times New Roman"/>
      <w:iCs/>
      <w:szCs w:val="24"/>
      <w:lang w:eastAsia="de-DE"/>
    </w:rPr>
  </w:style>
  <w:style w:type="character" w:customStyle="1" w:styleId="Titre9Car">
    <w:name w:val="Titre 9 Car"/>
    <w:basedOn w:val="Policepardfaut"/>
    <w:link w:val="Titre9"/>
    <w:semiHidden/>
    <w:rsid w:val="007F7C3B"/>
    <w:rPr>
      <w:rFonts w:ascii="Arial" w:eastAsia="Times New Roman" w:hAnsi="Arial" w:cs="Arial"/>
      <w:szCs w:val="20"/>
      <w:lang w:eastAsia="de-DE"/>
    </w:rPr>
  </w:style>
  <w:style w:type="paragraph" w:styleId="En-tte">
    <w:name w:val="header"/>
    <w:basedOn w:val="Normal"/>
    <w:link w:val="En-tteCar"/>
    <w:uiPriority w:val="99"/>
    <w:qFormat/>
    <w:rsid w:val="007F7C3B"/>
    <w:pPr>
      <w:suppressAutoHyphens/>
      <w:spacing w:line="200" w:lineRule="atLeast"/>
    </w:pPr>
    <w:rPr>
      <w:sz w:val="15"/>
    </w:rPr>
  </w:style>
  <w:style w:type="character" w:customStyle="1" w:styleId="En-tteCar">
    <w:name w:val="En-tête Car"/>
    <w:basedOn w:val="Policepardfaut"/>
    <w:link w:val="En-tte"/>
    <w:uiPriority w:val="99"/>
    <w:rsid w:val="007F7C3B"/>
    <w:rPr>
      <w:rFonts w:ascii="Arial" w:hAnsi="Arial"/>
      <w:sz w:val="15"/>
    </w:rPr>
  </w:style>
  <w:style w:type="paragraph" w:styleId="Pieddepage">
    <w:name w:val="footer"/>
    <w:basedOn w:val="Normal"/>
    <w:link w:val="PieddepageCar"/>
    <w:rsid w:val="007F7C3B"/>
    <w:pPr>
      <w:spacing w:line="160" w:lineRule="atLeast"/>
    </w:pPr>
    <w:rPr>
      <w:noProof/>
      <w:sz w:val="12"/>
    </w:rPr>
  </w:style>
  <w:style w:type="character" w:customStyle="1" w:styleId="PieddepageCar">
    <w:name w:val="Pied de page Car"/>
    <w:basedOn w:val="Policepardfaut"/>
    <w:link w:val="Pieddepage"/>
    <w:rsid w:val="007F7C3B"/>
    <w:rPr>
      <w:rFonts w:ascii="Arial" w:hAnsi="Arial"/>
      <w:noProof/>
      <w:sz w:val="12"/>
    </w:rPr>
  </w:style>
  <w:style w:type="table" w:styleId="Grilledutableau">
    <w:name w:val="Table Grid"/>
    <w:basedOn w:val="TableauNormal"/>
    <w:uiPriority w:val="39"/>
    <w:rsid w:val="007F7C3B"/>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opfzeileDepartement">
    <w:name w:val="KopfzeileDepartement"/>
    <w:basedOn w:val="En-tte"/>
    <w:next w:val="KopfzeileFett"/>
    <w:uiPriority w:val="3"/>
    <w:unhideWhenUsed/>
    <w:rsid w:val="007F7C3B"/>
    <w:pPr>
      <w:spacing w:after="100"/>
      <w:contextualSpacing/>
    </w:pPr>
  </w:style>
  <w:style w:type="paragraph" w:customStyle="1" w:styleId="KopfzeileFett">
    <w:name w:val="KopfzeileFett"/>
    <w:basedOn w:val="En-tte"/>
    <w:next w:val="En-tte"/>
    <w:uiPriority w:val="3"/>
    <w:unhideWhenUsed/>
    <w:rsid w:val="007F7C3B"/>
    <w:rPr>
      <w:b/>
    </w:rPr>
  </w:style>
  <w:style w:type="paragraph" w:customStyle="1" w:styleId="Klassifizierung">
    <w:name w:val="Klassifizierung"/>
    <w:basedOn w:val="Normal"/>
    <w:uiPriority w:val="2"/>
    <w:unhideWhenUsed/>
    <w:rsid w:val="007F7C3B"/>
    <w:pPr>
      <w:jc w:val="right"/>
    </w:pPr>
    <w:rPr>
      <w:b/>
    </w:rPr>
  </w:style>
  <w:style w:type="paragraph" w:customStyle="1" w:styleId="Referenz">
    <w:name w:val="Referenz"/>
    <w:basedOn w:val="Normal"/>
    <w:uiPriority w:val="1"/>
    <w:rsid w:val="007F7C3B"/>
    <w:pPr>
      <w:suppressAutoHyphens/>
      <w:spacing w:line="200" w:lineRule="atLeast"/>
    </w:pPr>
    <w:rPr>
      <w:sz w:val="15"/>
    </w:rPr>
  </w:style>
  <w:style w:type="paragraph" w:customStyle="1" w:styleId="ReferenzFormular">
    <w:name w:val="ReferenzFormular"/>
    <w:basedOn w:val="Normal"/>
    <w:uiPriority w:val="1"/>
    <w:unhideWhenUsed/>
    <w:rsid w:val="007F7C3B"/>
    <w:pPr>
      <w:suppressAutoHyphens/>
      <w:contextualSpacing/>
    </w:pPr>
    <w:rPr>
      <w:sz w:val="15"/>
    </w:rPr>
  </w:style>
  <w:style w:type="paragraph" w:customStyle="1" w:styleId="Absatz1Punkt">
    <w:name w:val="Absatz1Punkt"/>
    <w:basedOn w:val="Pieddepage"/>
    <w:link w:val="Absatz1PunktZchn"/>
    <w:rsid w:val="007F7C3B"/>
    <w:pPr>
      <w:widowControl/>
      <w:suppressAutoHyphens/>
    </w:pPr>
    <w:rPr>
      <w:rFonts w:eastAsia="Times New Roman" w:cs="Arial"/>
      <w:sz w:val="2"/>
      <w:szCs w:val="20"/>
      <w:lang w:val="fr-CH" w:eastAsia="de-CH"/>
    </w:rPr>
  </w:style>
  <w:style w:type="character" w:customStyle="1" w:styleId="Absatz1PunktZchn">
    <w:name w:val="Absatz1Punkt Zchn"/>
    <w:basedOn w:val="PieddepageCar"/>
    <w:link w:val="Absatz1Punkt"/>
    <w:rsid w:val="007F7C3B"/>
    <w:rPr>
      <w:rFonts w:ascii="Arial" w:eastAsia="Times New Roman" w:hAnsi="Arial" w:cs="Arial"/>
      <w:noProof/>
      <w:sz w:val="2"/>
      <w:szCs w:val="20"/>
      <w:lang w:val="fr-CH" w:eastAsia="de-CH"/>
    </w:rPr>
  </w:style>
  <w:style w:type="paragraph" w:customStyle="1" w:styleId="Text75">
    <w:name w:val="Text 7.5"/>
    <w:link w:val="Text75Zchn"/>
    <w:uiPriority w:val="99"/>
    <w:unhideWhenUsed/>
    <w:rsid w:val="007F7C3B"/>
    <w:pPr>
      <w:spacing w:after="0" w:line="200" w:lineRule="exact"/>
    </w:pPr>
    <w:rPr>
      <w:sz w:val="15"/>
      <w:szCs w:val="20"/>
    </w:rPr>
  </w:style>
  <w:style w:type="paragraph" w:customStyle="1" w:styleId="Text1-Zeilenabstand07pt">
    <w:name w:val="Text 1 - Zeilenabstand 0.7 pt."/>
    <w:link w:val="Text1-Zeilenabstand07ptZchn"/>
    <w:uiPriority w:val="99"/>
    <w:unhideWhenUsed/>
    <w:rsid w:val="007F7C3B"/>
    <w:pPr>
      <w:spacing w:after="0" w:line="14" w:lineRule="exact"/>
    </w:pPr>
    <w:rPr>
      <w:sz w:val="2"/>
      <w:szCs w:val="20"/>
    </w:rPr>
  </w:style>
  <w:style w:type="character" w:customStyle="1" w:styleId="Text1-Zeilenabstand07ptZchn">
    <w:name w:val="Text 1 - Zeilenabstand 0.7 pt. Zchn"/>
    <w:basedOn w:val="Policepardfaut"/>
    <w:link w:val="Text1-Zeilenabstand07pt"/>
    <w:uiPriority w:val="99"/>
    <w:rsid w:val="007F7C3B"/>
    <w:rPr>
      <w:sz w:val="2"/>
      <w:szCs w:val="20"/>
    </w:rPr>
  </w:style>
  <w:style w:type="character" w:customStyle="1" w:styleId="Text75Zchn">
    <w:name w:val="Text 7.5 Zchn"/>
    <w:basedOn w:val="Policepardfaut"/>
    <w:link w:val="Text75"/>
    <w:uiPriority w:val="99"/>
    <w:rsid w:val="007F7C3B"/>
    <w:rPr>
      <w:sz w:val="15"/>
      <w:szCs w:val="20"/>
    </w:rPr>
  </w:style>
  <w:style w:type="paragraph" w:customStyle="1" w:styleId="Text75-Abstandnach7Pt">
    <w:name w:val="Text 7.5 - Abstand nach 7 Pt."/>
    <w:basedOn w:val="Text75"/>
    <w:link w:val="Text75-Abstandnach7PtZchn"/>
    <w:uiPriority w:val="99"/>
    <w:unhideWhenUsed/>
    <w:rsid w:val="007F7C3B"/>
    <w:pPr>
      <w:spacing w:after="140" w:line="200" w:lineRule="atLeast"/>
      <w:contextualSpacing/>
    </w:pPr>
  </w:style>
  <w:style w:type="character" w:customStyle="1" w:styleId="Text75-Abstandnach7PtZchn">
    <w:name w:val="Text 7.5 - Abstand nach 7 Pt. Zchn"/>
    <w:basedOn w:val="Text75Zchn"/>
    <w:link w:val="Text75-Abstandnach7Pt"/>
    <w:uiPriority w:val="99"/>
    <w:rsid w:val="007F7C3B"/>
    <w:rPr>
      <w:sz w:val="15"/>
      <w:szCs w:val="20"/>
    </w:rPr>
  </w:style>
  <w:style w:type="paragraph" w:styleId="Paragraphedeliste">
    <w:name w:val="List Paragraph"/>
    <w:basedOn w:val="Normal"/>
    <w:uiPriority w:val="34"/>
    <w:qFormat/>
    <w:rsid w:val="00BD5F80"/>
    <w:pPr>
      <w:widowControl/>
      <w:spacing w:after="240"/>
      <w:ind w:left="720"/>
    </w:pPr>
    <w:rPr>
      <w:rFonts w:cs="Arial"/>
      <w:sz w:val="20"/>
    </w:rPr>
  </w:style>
  <w:style w:type="character" w:customStyle="1" w:styleId="wpaicg-chat-message">
    <w:name w:val="wpaicg-chat-message"/>
    <w:basedOn w:val="Policepardfaut"/>
    <w:rsid w:val="009A5E04"/>
  </w:style>
  <w:style w:type="paragraph" w:styleId="Titre">
    <w:name w:val="Title"/>
    <w:basedOn w:val="Normal"/>
    <w:next w:val="Normal"/>
    <w:link w:val="TitreCar"/>
    <w:uiPriority w:val="10"/>
    <w:qFormat/>
    <w:rsid w:val="005F25C0"/>
    <w:pPr>
      <w:spacing w:after="180" w:line="240" w:lineRule="auto"/>
      <w:contextualSpacing/>
    </w:pPr>
    <w:rPr>
      <w:rFonts w:eastAsiaTheme="majorEastAsia" w:cstheme="majorBidi"/>
      <w:b/>
      <w:kern w:val="28"/>
      <w:sz w:val="40"/>
      <w:szCs w:val="56"/>
    </w:rPr>
  </w:style>
  <w:style w:type="character" w:customStyle="1" w:styleId="TitreCar">
    <w:name w:val="Titre Car"/>
    <w:basedOn w:val="Policepardfaut"/>
    <w:link w:val="Titre"/>
    <w:uiPriority w:val="10"/>
    <w:rsid w:val="005F25C0"/>
    <w:rPr>
      <w:rFonts w:ascii="Arial" w:eastAsiaTheme="majorEastAsia" w:hAnsi="Arial" w:cstheme="majorBidi"/>
      <w:b/>
      <w:kern w:val="28"/>
      <w:sz w:val="40"/>
      <w:szCs w:val="56"/>
    </w:rPr>
  </w:style>
  <w:style w:type="paragraph" w:styleId="Sous-titre">
    <w:name w:val="Subtitle"/>
    <w:basedOn w:val="Normal"/>
    <w:next w:val="Normal"/>
    <w:link w:val="Sous-titreCar"/>
    <w:uiPriority w:val="11"/>
    <w:qFormat/>
    <w:rsid w:val="005F25C0"/>
    <w:pPr>
      <w:numPr>
        <w:ilvl w:val="1"/>
      </w:numPr>
      <w:spacing w:after="360"/>
    </w:pPr>
    <w:rPr>
      <w:rFonts w:eastAsiaTheme="minorEastAsia"/>
      <w:sz w:val="40"/>
    </w:rPr>
  </w:style>
  <w:style w:type="character" w:customStyle="1" w:styleId="Sous-titreCar">
    <w:name w:val="Sous-titre Car"/>
    <w:basedOn w:val="Policepardfaut"/>
    <w:link w:val="Sous-titre"/>
    <w:uiPriority w:val="11"/>
    <w:rsid w:val="005F25C0"/>
    <w:rPr>
      <w:rFonts w:ascii="Arial" w:eastAsiaTheme="minorEastAsia" w:hAnsi="Arial"/>
      <w:sz w:val="40"/>
    </w:rPr>
  </w:style>
  <w:style w:type="character" w:styleId="Lienhypertexte">
    <w:name w:val="Hyperlink"/>
    <w:basedOn w:val="Policepardfaut"/>
    <w:uiPriority w:val="99"/>
    <w:unhideWhenUsed/>
    <w:rsid w:val="005A3CE0"/>
    <w:rPr>
      <w:color w:val="0563C1" w:themeColor="hyperlink"/>
      <w:u w:val="single"/>
    </w:rPr>
  </w:style>
  <w:style w:type="character" w:styleId="Mentionnonrsolue">
    <w:name w:val="Unresolved Mention"/>
    <w:basedOn w:val="Policepardfaut"/>
    <w:uiPriority w:val="99"/>
    <w:semiHidden/>
    <w:unhideWhenUsed/>
    <w:rsid w:val="005A3CE0"/>
    <w:rPr>
      <w:color w:val="605E5C"/>
      <w:shd w:val="clear" w:color="auto" w:fill="E1DFDD"/>
    </w:rPr>
  </w:style>
  <w:style w:type="paragraph" w:styleId="NormalWeb">
    <w:name w:val="Normal (Web)"/>
    <w:basedOn w:val="Normal"/>
    <w:uiPriority w:val="99"/>
    <w:semiHidden/>
    <w:unhideWhenUsed/>
    <w:rsid w:val="006151B9"/>
    <w:pPr>
      <w:widowControl/>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Accentuation">
    <w:name w:val="Emphasis"/>
    <w:basedOn w:val="Policepardfaut"/>
    <w:uiPriority w:val="20"/>
    <w:qFormat/>
    <w:rsid w:val="0061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lex.sites.be.ch/app/fr/texts_of_law/152.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lex.sites.be.ch/app/fr/texts_of_law/152.0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3648</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Denis Beer</cp:lastModifiedBy>
  <cp:revision>8</cp:revision>
  <dcterms:created xsi:type="dcterms:W3CDTF">2024-08-10T04:35:00Z</dcterms:created>
  <dcterms:modified xsi:type="dcterms:W3CDTF">2026-01-29T09:57:00Z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2024-08-10T04:35:35Z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6b5bded7-0120-40d3-9dff-f2a38b9bac5f</vt:lpwstr>
  </property>
  <property fmtid="{D5CDD505-2E9C-101B-9397-08002B2CF9AE}" pid="8" name="MSIP_Label_245c3252-146d-46f3-8062-82cd8c8d7e7d_ContentBits">
    <vt:lpwstr>0</vt:lpwstr>
  </property>
</Properties>
</file>